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13" w:rsidRDefault="008421F1" w:rsidP="00AB2813">
      <w:pPr>
        <w:jc w:val="center"/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AJIN </w:t>
      </w:r>
      <w:r w:rsidR="004928C2">
        <w:rPr>
          <w:rStyle w:val="Forte"/>
          <w:rFonts w:ascii="Arial" w:hAnsi="Arial" w:cs="Arial"/>
          <w:sz w:val="24"/>
          <w:szCs w:val="24"/>
        </w:rPr>
        <w:t xml:space="preserve">MOBILIZADA </w:t>
      </w:r>
      <w:r>
        <w:rPr>
          <w:rStyle w:val="Forte"/>
          <w:rFonts w:ascii="Arial" w:hAnsi="Arial" w:cs="Arial"/>
          <w:sz w:val="24"/>
          <w:szCs w:val="24"/>
        </w:rPr>
        <w:t>CONTRA A CONSTRUÇÃO DE BOATE NO CLUBE DOZE DE AGOSTO</w:t>
      </w:r>
      <w:r w:rsidR="004928C2">
        <w:rPr>
          <w:rStyle w:val="Forte"/>
          <w:rFonts w:ascii="Arial" w:hAnsi="Arial" w:cs="Arial"/>
          <w:sz w:val="24"/>
          <w:szCs w:val="24"/>
        </w:rPr>
        <w:t xml:space="preserve"> EM JURERÊ INTERNACIONAL</w:t>
      </w:r>
    </w:p>
    <w:p w:rsidR="009740B4" w:rsidRDefault="009740B4" w:rsidP="00AB2813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 xml:space="preserve">Após ter realizado reunião com a Diretoria do Clube Doze de Agosto, a fim de conhecer detalhes sobre a construção de uma boate e um centro multieventos na sede desse Clube em </w:t>
      </w:r>
      <w:proofErr w:type="spellStart"/>
      <w:r>
        <w:rPr>
          <w:rStyle w:val="Forte"/>
          <w:rFonts w:ascii="Arial" w:hAnsi="Arial" w:cs="Arial"/>
          <w:b w:val="0"/>
          <w:sz w:val="24"/>
          <w:szCs w:val="24"/>
        </w:rPr>
        <w:t>Jurerê</w:t>
      </w:r>
      <w:proofErr w:type="spellEnd"/>
      <w:r>
        <w:rPr>
          <w:rStyle w:val="Forte"/>
          <w:rFonts w:ascii="Arial" w:hAnsi="Arial" w:cs="Arial"/>
          <w:b w:val="0"/>
          <w:sz w:val="24"/>
          <w:szCs w:val="24"/>
        </w:rPr>
        <w:t xml:space="preserve"> Internacional, conforme vinha sendo anunciado pela imprensa local, a Diretoria da AJIN agendou reunião com a </w:t>
      </w:r>
      <w:r w:rsidR="00AB2813">
        <w:rPr>
          <w:rStyle w:val="Forte"/>
          <w:rFonts w:ascii="Arial" w:hAnsi="Arial" w:cs="Arial"/>
          <w:b w:val="0"/>
          <w:sz w:val="24"/>
          <w:szCs w:val="24"/>
        </w:rPr>
        <w:t>32ª. Promotoria de Justiça da Comarca da Capital</w:t>
      </w:r>
      <w:r>
        <w:rPr>
          <w:rStyle w:val="Forte"/>
          <w:rFonts w:ascii="Arial" w:hAnsi="Arial" w:cs="Arial"/>
          <w:b w:val="0"/>
          <w:sz w:val="24"/>
          <w:szCs w:val="24"/>
        </w:rPr>
        <w:t>, d</w:t>
      </w:r>
      <w:r w:rsidR="00AB2813">
        <w:rPr>
          <w:rStyle w:val="Forte"/>
          <w:rFonts w:ascii="Arial" w:hAnsi="Arial" w:cs="Arial"/>
          <w:b w:val="0"/>
          <w:sz w:val="24"/>
          <w:szCs w:val="24"/>
        </w:rPr>
        <w:t>o Ministério Público de Santa Catarina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. No ato da reunião, a denúncia foi transformada em representação, tendo originado o </w:t>
      </w:r>
      <w:r w:rsidR="00005B16">
        <w:rPr>
          <w:rStyle w:val="Forte"/>
          <w:rFonts w:ascii="Arial" w:hAnsi="Arial" w:cs="Arial"/>
          <w:b w:val="0"/>
          <w:sz w:val="24"/>
          <w:szCs w:val="24"/>
        </w:rPr>
        <w:t>Inquérito Civil n° 06.2014.00010817-6</w:t>
      </w:r>
      <w:r>
        <w:rPr>
          <w:rStyle w:val="Forte"/>
          <w:rFonts w:ascii="Arial" w:hAnsi="Arial" w:cs="Arial"/>
          <w:b w:val="0"/>
          <w:sz w:val="24"/>
          <w:szCs w:val="24"/>
        </w:rPr>
        <w:t>.</w:t>
      </w:r>
    </w:p>
    <w:p w:rsidR="00AB2813" w:rsidRDefault="009740B4" w:rsidP="009740B4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No dia 27 de novembro, a Promotoria Pública agendou reunião com as Diretorias da AJIN e do Clube Doze de Agosto, onde</w:t>
      </w:r>
      <w:r w:rsidR="004928C2">
        <w:rPr>
          <w:rStyle w:val="Forte"/>
          <w:rFonts w:ascii="Arial" w:hAnsi="Arial" w:cs="Arial"/>
          <w:b w:val="0"/>
          <w:sz w:val="24"/>
          <w:szCs w:val="24"/>
        </w:rPr>
        <w:t xml:space="preserve"> ainda estiveram presentes, </w:t>
      </w:r>
      <w:r w:rsidR="001F4320">
        <w:rPr>
          <w:rStyle w:val="Forte"/>
          <w:rFonts w:ascii="Arial" w:hAnsi="Arial" w:cs="Arial"/>
          <w:b w:val="0"/>
          <w:sz w:val="24"/>
          <w:szCs w:val="24"/>
        </w:rPr>
        <w:t>representantes da Prefeitura Municipal de Florianópolis,</w:t>
      </w:r>
      <w:r w:rsidR="004155EE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005B16">
        <w:rPr>
          <w:rStyle w:val="Forte"/>
          <w:rFonts w:ascii="Arial" w:hAnsi="Arial" w:cs="Arial"/>
          <w:b w:val="0"/>
          <w:sz w:val="24"/>
          <w:szCs w:val="24"/>
        </w:rPr>
        <w:t>da</w:t>
      </w:r>
      <w:r w:rsidR="001F4320">
        <w:rPr>
          <w:rStyle w:val="Forte"/>
          <w:rFonts w:ascii="Arial" w:hAnsi="Arial" w:cs="Arial"/>
          <w:b w:val="0"/>
          <w:sz w:val="24"/>
          <w:szCs w:val="24"/>
        </w:rPr>
        <w:t>s</w:t>
      </w:r>
      <w:r w:rsidR="00005B16">
        <w:rPr>
          <w:rStyle w:val="Forte"/>
          <w:rFonts w:ascii="Arial" w:hAnsi="Arial" w:cs="Arial"/>
          <w:b w:val="0"/>
          <w:sz w:val="24"/>
          <w:szCs w:val="24"/>
        </w:rPr>
        <w:t xml:space="preserve"> Secretaria</w:t>
      </w:r>
      <w:r w:rsidR="001F4320">
        <w:rPr>
          <w:rStyle w:val="Forte"/>
          <w:rFonts w:ascii="Arial" w:hAnsi="Arial" w:cs="Arial"/>
          <w:b w:val="0"/>
          <w:sz w:val="24"/>
          <w:szCs w:val="24"/>
        </w:rPr>
        <w:t>s</w:t>
      </w:r>
      <w:r w:rsidR="00005B16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1F4320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005B16">
        <w:rPr>
          <w:rStyle w:val="Forte"/>
          <w:rFonts w:ascii="Arial" w:hAnsi="Arial" w:cs="Arial"/>
          <w:b w:val="0"/>
          <w:sz w:val="24"/>
          <w:szCs w:val="24"/>
        </w:rPr>
        <w:t>Meio Ambiente e Desenvolvimento Urbano</w:t>
      </w:r>
      <w:r w:rsidR="004928C2">
        <w:rPr>
          <w:rStyle w:val="Forte"/>
          <w:rFonts w:ascii="Arial" w:hAnsi="Arial" w:cs="Arial"/>
          <w:b w:val="0"/>
          <w:sz w:val="24"/>
          <w:szCs w:val="24"/>
        </w:rPr>
        <w:t>, d</w:t>
      </w:r>
      <w:r w:rsidR="001F4320">
        <w:rPr>
          <w:rStyle w:val="Forte"/>
          <w:rFonts w:ascii="Arial" w:hAnsi="Arial" w:cs="Arial"/>
          <w:b w:val="0"/>
          <w:sz w:val="24"/>
          <w:szCs w:val="24"/>
        </w:rPr>
        <w:t xml:space="preserve">e </w:t>
      </w:r>
      <w:r w:rsidR="00005B16">
        <w:rPr>
          <w:rStyle w:val="Forte"/>
          <w:rFonts w:ascii="Arial" w:hAnsi="Arial" w:cs="Arial"/>
          <w:b w:val="0"/>
          <w:sz w:val="24"/>
          <w:szCs w:val="24"/>
        </w:rPr>
        <w:t>Mobilidade Urbana</w:t>
      </w:r>
      <w:r w:rsidR="004928C2">
        <w:rPr>
          <w:rStyle w:val="Forte"/>
          <w:rFonts w:ascii="Arial" w:hAnsi="Arial" w:cs="Arial"/>
          <w:b w:val="0"/>
          <w:sz w:val="24"/>
          <w:szCs w:val="24"/>
        </w:rPr>
        <w:t xml:space="preserve"> e</w:t>
      </w:r>
      <w:r w:rsidR="001F4320">
        <w:rPr>
          <w:rStyle w:val="Forte"/>
          <w:rFonts w:ascii="Arial" w:hAnsi="Arial" w:cs="Arial"/>
          <w:b w:val="0"/>
          <w:sz w:val="24"/>
          <w:szCs w:val="24"/>
        </w:rPr>
        <w:t xml:space="preserve"> do IPUF e ainda </w:t>
      </w:r>
      <w:r w:rsidR="00005B16">
        <w:rPr>
          <w:rStyle w:val="Forte"/>
          <w:rFonts w:ascii="Arial" w:hAnsi="Arial" w:cs="Arial"/>
          <w:b w:val="0"/>
          <w:sz w:val="24"/>
          <w:szCs w:val="24"/>
        </w:rPr>
        <w:t xml:space="preserve">da Delegacia </w:t>
      </w:r>
      <w:r w:rsidR="00FE2066">
        <w:rPr>
          <w:rStyle w:val="Forte"/>
          <w:rFonts w:ascii="Arial" w:hAnsi="Arial" w:cs="Arial"/>
          <w:b w:val="0"/>
          <w:sz w:val="24"/>
          <w:szCs w:val="24"/>
        </w:rPr>
        <w:t>de Diversões Públicas da Polícia Civil</w:t>
      </w:r>
      <w:r w:rsidR="001F4320">
        <w:rPr>
          <w:rStyle w:val="Forte"/>
          <w:rFonts w:ascii="Arial" w:hAnsi="Arial" w:cs="Arial"/>
          <w:b w:val="0"/>
          <w:sz w:val="24"/>
          <w:szCs w:val="24"/>
        </w:rPr>
        <w:t xml:space="preserve"> do Estado de Santa Catarina</w:t>
      </w:r>
      <w:r w:rsidR="004155EE">
        <w:rPr>
          <w:rStyle w:val="Forte"/>
          <w:rFonts w:ascii="Arial" w:hAnsi="Arial" w:cs="Arial"/>
          <w:b w:val="0"/>
          <w:sz w:val="24"/>
          <w:szCs w:val="24"/>
        </w:rPr>
        <w:t>.</w:t>
      </w:r>
    </w:p>
    <w:p w:rsidR="004928C2" w:rsidRDefault="004928C2" w:rsidP="009740B4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As exposições dos representantes do Clube Doze de Agosto</w:t>
      </w:r>
      <w:proofErr w:type="gramStart"/>
      <w:r>
        <w:rPr>
          <w:rStyle w:val="Forte"/>
          <w:rFonts w:ascii="Arial" w:hAnsi="Arial" w:cs="Arial"/>
          <w:b w:val="0"/>
          <w:sz w:val="24"/>
          <w:szCs w:val="24"/>
        </w:rPr>
        <w:t>, trouxeram</w:t>
      </w:r>
      <w:proofErr w:type="gramEnd"/>
      <w:r>
        <w:rPr>
          <w:rStyle w:val="Forte"/>
          <w:rFonts w:ascii="Arial" w:hAnsi="Arial" w:cs="Arial"/>
          <w:b w:val="0"/>
          <w:sz w:val="24"/>
          <w:szCs w:val="24"/>
        </w:rPr>
        <w:t xml:space="preserve"> informações distintas das relatadas em reunião com a Diretoria da AJIN, de que não seria construído o espaço multieventos para 3.000 pessoas, que a boate seria para 700 e não 900 pessoas e que o estacionamento seria para 700 e não para cerca de 1.800 carros.</w:t>
      </w:r>
    </w:p>
    <w:p w:rsidR="00E24B8D" w:rsidRDefault="00E24B8D" w:rsidP="009740B4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A Diretoria da AJIN reforçou a necessidade de se realizar um estudo de impacto de vizinhança (EIV) e um relatório técnico de tratamento acústico, ainda que seja apenas a construção de uma boate para 700 pessoas.</w:t>
      </w:r>
    </w:p>
    <w:p w:rsidR="004155EE" w:rsidRDefault="00BD337A" w:rsidP="00AB2813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O representante do Clube Doze</w:t>
      </w:r>
      <w:proofErr w:type="gramStart"/>
      <w:r w:rsidR="00E24B8D">
        <w:rPr>
          <w:rStyle w:val="Forte"/>
          <w:rFonts w:ascii="Arial" w:hAnsi="Arial" w:cs="Arial"/>
          <w:b w:val="0"/>
          <w:sz w:val="24"/>
          <w:szCs w:val="24"/>
        </w:rPr>
        <w:t>,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 informou</w:t>
      </w:r>
      <w:proofErr w:type="gramEnd"/>
      <w:r w:rsidR="004155EE">
        <w:rPr>
          <w:rStyle w:val="Forte"/>
          <w:rFonts w:ascii="Arial" w:hAnsi="Arial" w:cs="Arial"/>
          <w:b w:val="0"/>
          <w:sz w:val="24"/>
          <w:szCs w:val="24"/>
        </w:rPr>
        <w:t xml:space="preserve">, 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que </w:t>
      </w:r>
      <w:r w:rsidR="00E24B8D">
        <w:rPr>
          <w:rStyle w:val="Forte"/>
          <w:rFonts w:ascii="Arial" w:hAnsi="Arial" w:cs="Arial"/>
          <w:b w:val="0"/>
          <w:sz w:val="24"/>
          <w:szCs w:val="24"/>
        </w:rPr>
        <w:t xml:space="preserve">o entendimento dos mesmos é de </w:t>
      </w:r>
      <w:r w:rsidR="004155EE">
        <w:rPr>
          <w:rStyle w:val="Forte"/>
          <w:rFonts w:ascii="Arial" w:hAnsi="Arial" w:cs="Arial"/>
          <w:b w:val="0"/>
          <w:sz w:val="24"/>
          <w:szCs w:val="24"/>
        </w:rPr>
        <w:t xml:space="preserve">que </w:t>
      </w:r>
      <w:r>
        <w:rPr>
          <w:rStyle w:val="Forte"/>
          <w:rFonts w:ascii="Arial" w:hAnsi="Arial" w:cs="Arial"/>
          <w:b w:val="0"/>
          <w:sz w:val="24"/>
          <w:szCs w:val="24"/>
        </w:rPr>
        <w:t>por ser uma ampliação de um espaço e não uma construção nova e pela área utilizada, não havia necessidade de apresentação do estudo de impacto de vizinhança e que a legislação municipal atual</w:t>
      </w:r>
      <w:r w:rsidR="004155EE">
        <w:rPr>
          <w:rStyle w:val="Forte"/>
          <w:rFonts w:ascii="Arial" w:hAnsi="Arial" w:cs="Arial"/>
          <w:b w:val="0"/>
          <w:sz w:val="24"/>
          <w:szCs w:val="24"/>
        </w:rPr>
        <w:t>, para essas condições, não exige esse estudo.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4155EE">
        <w:rPr>
          <w:rStyle w:val="Forte"/>
          <w:rFonts w:ascii="Arial" w:hAnsi="Arial" w:cs="Arial"/>
          <w:b w:val="0"/>
          <w:sz w:val="24"/>
          <w:szCs w:val="24"/>
        </w:rPr>
        <w:t xml:space="preserve">Informou ainda que o clube apresentou os documentos exigidos pela legislação municipal, incluindo estudo de tratamento acústico e que a obra tem todas as licenças necessárias, municipais e </w:t>
      </w:r>
      <w:r w:rsidR="001175CD">
        <w:rPr>
          <w:rStyle w:val="Forte"/>
          <w:rFonts w:ascii="Arial" w:hAnsi="Arial" w:cs="Arial"/>
          <w:b w:val="0"/>
          <w:sz w:val="24"/>
          <w:szCs w:val="24"/>
        </w:rPr>
        <w:t>de outros órgãos fiscalizadores.</w:t>
      </w:r>
    </w:p>
    <w:p w:rsidR="00E24B8D" w:rsidRDefault="00E24B8D" w:rsidP="00AB2813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 xml:space="preserve">O Promotor público, diante da alegação do Clube Doze e do pedido da AJIN, mediou </w:t>
      </w:r>
      <w:proofErr w:type="gramStart"/>
      <w:r>
        <w:rPr>
          <w:rStyle w:val="Forte"/>
          <w:rFonts w:ascii="Arial" w:hAnsi="Arial" w:cs="Arial"/>
          <w:b w:val="0"/>
          <w:sz w:val="24"/>
          <w:szCs w:val="24"/>
        </w:rPr>
        <w:t>a</w:t>
      </w:r>
      <w:proofErr w:type="gramEnd"/>
      <w:r>
        <w:rPr>
          <w:rStyle w:val="Forte"/>
          <w:rFonts w:ascii="Arial" w:hAnsi="Arial" w:cs="Arial"/>
          <w:b w:val="0"/>
          <w:sz w:val="24"/>
          <w:szCs w:val="24"/>
        </w:rPr>
        <w:t xml:space="preserve"> controvérsia, restando decidido que o Clube Doze iria apresentar o EIV para os órgãos da Prefeitura Municipal, responsáveis por sua aprovação</w:t>
      </w:r>
      <w:r w:rsidR="00BD4EFC">
        <w:rPr>
          <w:rStyle w:val="Forte"/>
          <w:rFonts w:ascii="Arial" w:hAnsi="Arial" w:cs="Arial"/>
          <w:b w:val="0"/>
          <w:sz w:val="24"/>
          <w:szCs w:val="24"/>
        </w:rPr>
        <w:t>, no entanto, os representantes do Clube Doze informaram que as obras não seriam paralisadas, sendo alertado pelo Promotor Público que essa decisão é de responsabilidade da Diretoria do Clube, caso o resultado do relatório de impacto ambiental (RIV) decorrente do EIV resulte na inviabilidade da operação do empreendimento por trazer impactos danosos às comunidades limítrofes.</w:t>
      </w:r>
    </w:p>
    <w:p w:rsidR="00BD4EFC" w:rsidRDefault="00BD4EFC" w:rsidP="00BD4EFC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lastRenderedPageBreak/>
        <w:t>Os referidos EIV e RIV, segundo o Decreto Municipal n° 13.348, de 30/07/2014</w:t>
      </w:r>
      <w:proofErr w:type="gramStart"/>
      <w:r>
        <w:rPr>
          <w:rStyle w:val="Forte"/>
          <w:rFonts w:ascii="Arial" w:hAnsi="Arial" w:cs="Arial"/>
          <w:b w:val="0"/>
          <w:sz w:val="24"/>
          <w:szCs w:val="24"/>
        </w:rPr>
        <w:t>, deverão</w:t>
      </w:r>
      <w:proofErr w:type="gramEnd"/>
      <w:r>
        <w:rPr>
          <w:rStyle w:val="Forte"/>
          <w:rFonts w:ascii="Arial" w:hAnsi="Arial" w:cs="Arial"/>
          <w:b w:val="0"/>
          <w:sz w:val="24"/>
          <w:szCs w:val="24"/>
        </w:rPr>
        <w:t xml:space="preserve"> observar</w:t>
      </w:r>
      <w:r w:rsidR="005758FB">
        <w:rPr>
          <w:rStyle w:val="Forte"/>
          <w:rFonts w:ascii="Arial" w:hAnsi="Arial" w:cs="Arial"/>
          <w:b w:val="0"/>
          <w:sz w:val="24"/>
          <w:szCs w:val="24"/>
        </w:rPr>
        <w:t>, dentre outros</w:t>
      </w:r>
      <w:r>
        <w:rPr>
          <w:rStyle w:val="Forte"/>
          <w:rFonts w:ascii="Arial" w:hAnsi="Arial" w:cs="Arial"/>
          <w:b w:val="0"/>
          <w:sz w:val="24"/>
          <w:szCs w:val="24"/>
        </w:rPr>
        <w:t>:</w:t>
      </w:r>
    </w:p>
    <w:p w:rsidR="005758FB" w:rsidRPr="005758FB" w:rsidRDefault="005758FB" w:rsidP="00BD4EF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</w:t>
      </w:r>
      <w:r w:rsidR="00472A64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5758FB">
        <w:rPr>
          <w:rFonts w:ascii="Arial" w:hAnsi="Arial" w:cs="Arial"/>
          <w:color w:val="333333"/>
          <w:sz w:val="24"/>
          <w:szCs w:val="24"/>
          <w:shd w:val="clear" w:color="auto" w:fill="FFFFFF"/>
        </w:rPr>
        <w:t>Identificação e avaliação dos impactos positivos e negativos do empreendimento ou atividade na área de influência relacionada durante as obras de implantação, quando for o caso, e após a entrada em operação, considerando os seguintes conteúdos:</w:t>
      </w:r>
    </w:p>
    <w:p w:rsidR="005758FB" w:rsidRDefault="005758FB" w:rsidP="00BD4EF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</w:rPr>
        <w:t>1</w:t>
      </w:r>
      <w:r w:rsidRPr="005758FB">
        <w:rPr>
          <w:rFonts w:ascii="Arial" w:hAnsi="Arial" w:cs="Arial"/>
          <w:color w:val="333333"/>
          <w:sz w:val="24"/>
          <w:szCs w:val="24"/>
          <w:shd w:val="clear" w:color="auto" w:fill="FFFFFF"/>
        </w:rPr>
        <w:t>.1. Nova estruturação e modificação na dinâmica da mobilidade urbana;</w:t>
      </w:r>
    </w:p>
    <w:p w:rsidR="005758FB" w:rsidRDefault="005758FB" w:rsidP="00BD4EF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1.2</w:t>
      </w:r>
      <w:r w:rsidRPr="005758FB">
        <w:rPr>
          <w:rFonts w:ascii="Arial" w:hAnsi="Arial" w:cs="Arial"/>
          <w:color w:val="333333"/>
          <w:sz w:val="24"/>
          <w:szCs w:val="24"/>
          <w:shd w:val="clear" w:color="auto" w:fill="FFFFFF"/>
        </w:rPr>
        <w:t>. Influência sobre bens ambientais, no que se refere à qualidade do ar, do solo e subsolo, das águas, da flora, da fauna, e poluições ambiental, visual e sonora decorrentes da atividade;</w:t>
      </w:r>
    </w:p>
    <w:p w:rsidR="008E0C9E" w:rsidRPr="008E0C9E" w:rsidRDefault="008E0C9E" w:rsidP="00BD4EF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E0C9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1.3. Relação do empreendimento ou atividade com o patrimônio ambiental natural e construído, arqueológico, arquitetônico, etnográfico, histórico ou paisagístico, com seus </w:t>
      </w:r>
      <w:proofErr w:type="spellStart"/>
      <w:r w:rsidRPr="008E0C9E">
        <w:rPr>
          <w:rFonts w:ascii="Arial" w:hAnsi="Arial" w:cs="Arial"/>
          <w:color w:val="333333"/>
          <w:sz w:val="24"/>
          <w:szCs w:val="24"/>
          <w:shd w:val="clear" w:color="auto" w:fill="FFFFFF"/>
        </w:rPr>
        <w:t>entornos</w:t>
      </w:r>
      <w:proofErr w:type="spellEnd"/>
      <w:r w:rsidRPr="008E0C9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que se refere à conservação, à apreensão visual, à valorização dos bens já consolidados e os de interesse a elementos de arte pública, ambiências urbanas criadas;</w:t>
      </w:r>
    </w:p>
    <w:p w:rsidR="005758FB" w:rsidRDefault="005758FB" w:rsidP="00BD4EF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2</w:t>
      </w:r>
      <w:r w:rsidRPr="005758FB">
        <w:rPr>
          <w:rFonts w:ascii="Arial" w:hAnsi="Arial" w:cs="Arial"/>
          <w:color w:val="333333"/>
          <w:sz w:val="24"/>
          <w:szCs w:val="24"/>
          <w:shd w:val="clear" w:color="auto" w:fill="FFFFFF"/>
        </w:rPr>
        <w:t>. Quando exigido, comprometer-se realizar consulta à população atingida, através de reuniões, audiências públicas e outros meios.</w:t>
      </w:r>
    </w:p>
    <w:p w:rsidR="00BD4EFC" w:rsidRDefault="005758FB" w:rsidP="00BD4EF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3</w:t>
      </w:r>
      <w:r w:rsidRPr="005758FB">
        <w:rPr>
          <w:rFonts w:ascii="Arial" w:hAnsi="Arial" w:cs="Arial"/>
          <w:color w:val="333333"/>
          <w:sz w:val="24"/>
          <w:szCs w:val="24"/>
          <w:shd w:val="clear" w:color="auto" w:fill="FFFFFF"/>
        </w:rPr>
        <w:t>. Indicação e detalhamento das medidas mitigadoras e compensatórias previstas para resolver os impactos negativos com cronograma de execução.</w:t>
      </w:r>
    </w:p>
    <w:p w:rsidR="006C161D" w:rsidRPr="005758FB" w:rsidRDefault="006C161D" w:rsidP="00AB2813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5758FB">
        <w:rPr>
          <w:rStyle w:val="Forte"/>
          <w:rFonts w:ascii="Arial" w:hAnsi="Arial" w:cs="Arial"/>
          <w:b w:val="0"/>
          <w:sz w:val="24"/>
          <w:szCs w:val="24"/>
        </w:rPr>
        <w:t>Os que desejarem se aprofundar na legislação específica sobre o tema, recomendamos a leitura da seguinte legislação:</w:t>
      </w:r>
    </w:p>
    <w:p w:rsidR="006C161D" w:rsidRPr="005758FB" w:rsidRDefault="006C161D" w:rsidP="00AB2813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5758FB">
        <w:rPr>
          <w:rStyle w:val="Forte"/>
          <w:rFonts w:ascii="Arial" w:hAnsi="Arial" w:cs="Arial"/>
          <w:b w:val="0"/>
          <w:sz w:val="24"/>
          <w:szCs w:val="24"/>
        </w:rPr>
        <w:t>Federal:</w:t>
      </w:r>
    </w:p>
    <w:p w:rsidR="006C161D" w:rsidRPr="005758FB" w:rsidRDefault="006C161D" w:rsidP="00AB2813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5758FB">
        <w:rPr>
          <w:rStyle w:val="Forte"/>
          <w:rFonts w:ascii="Arial" w:hAnsi="Arial" w:cs="Arial"/>
          <w:b w:val="0"/>
          <w:sz w:val="24"/>
          <w:szCs w:val="24"/>
        </w:rPr>
        <w:t>- Lei n° 10.257, 10 de julho de 2001, denominada de estatuto da cidade;</w:t>
      </w:r>
    </w:p>
    <w:p w:rsidR="006C161D" w:rsidRPr="005758FB" w:rsidRDefault="006C161D" w:rsidP="00AB2813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5758FB">
        <w:rPr>
          <w:rStyle w:val="Forte"/>
          <w:rFonts w:ascii="Arial" w:hAnsi="Arial" w:cs="Arial"/>
          <w:b w:val="0"/>
          <w:sz w:val="24"/>
          <w:szCs w:val="24"/>
        </w:rPr>
        <w:t>Municipal:</w:t>
      </w:r>
    </w:p>
    <w:p w:rsidR="006C161D" w:rsidRPr="005758FB" w:rsidRDefault="006C161D" w:rsidP="00AB2813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5758FB">
        <w:rPr>
          <w:rStyle w:val="Forte"/>
          <w:rFonts w:ascii="Arial" w:hAnsi="Arial" w:cs="Arial"/>
          <w:b w:val="0"/>
          <w:sz w:val="24"/>
          <w:szCs w:val="24"/>
        </w:rPr>
        <w:t>- Lei complem</w:t>
      </w:r>
      <w:r w:rsidR="001F601E" w:rsidRPr="005758FB">
        <w:rPr>
          <w:rStyle w:val="Forte"/>
          <w:rFonts w:ascii="Arial" w:hAnsi="Arial" w:cs="Arial"/>
          <w:b w:val="0"/>
          <w:sz w:val="24"/>
          <w:szCs w:val="24"/>
        </w:rPr>
        <w:t>e</w:t>
      </w:r>
      <w:r w:rsidRPr="005758FB">
        <w:rPr>
          <w:rStyle w:val="Forte"/>
          <w:rFonts w:ascii="Arial" w:hAnsi="Arial" w:cs="Arial"/>
          <w:b w:val="0"/>
          <w:sz w:val="24"/>
          <w:szCs w:val="24"/>
        </w:rPr>
        <w:t xml:space="preserve">ntar </w:t>
      </w:r>
      <w:r w:rsidR="001F601E" w:rsidRPr="005758FB">
        <w:rPr>
          <w:rStyle w:val="Forte"/>
          <w:rFonts w:ascii="Arial" w:hAnsi="Arial" w:cs="Arial"/>
          <w:b w:val="0"/>
          <w:sz w:val="24"/>
          <w:szCs w:val="24"/>
        </w:rPr>
        <w:t>n</w:t>
      </w:r>
      <w:r w:rsidRPr="005758FB">
        <w:rPr>
          <w:rStyle w:val="Forte"/>
          <w:rFonts w:ascii="Arial" w:hAnsi="Arial" w:cs="Arial"/>
          <w:b w:val="0"/>
          <w:sz w:val="24"/>
          <w:szCs w:val="24"/>
        </w:rPr>
        <w:t xml:space="preserve">° </w:t>
      </w:r>
      <w:r w:rsidR="001F601E" w:rsidRPr="005758FB">
        <w:rPr>
          <w:rStyle w:val="Forte"/>
          <w:rFonts w:ascii="Arial" w:hAnsi="Arial" w:cs="Arial"/>
          <w:b w:val="0"/>
          <w:sz w:val="24"/>
          <w:szCs w:val="24"/>
        </w:rPr>
        <w:t>482, de 17 de janeiro de 2014, que instituiu o plano diretor de urbanismo de Florianópolis;</w:t>
      </w:r>
    </w:p>
    <w:p w:rsidR="001F601E" w:rsidRPr="005758FB" w:rsidRDefault="001F601E" w:rsidP="00AB2813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5758FB">
        <w:rPr>
          <w:rStyle w:val="Forte"/>
          <w:rFonts w:ascii="Arial" w:hAnsi="Arial" w:cs="Arial"/>
          <w:b w:val="0"/>
          <w:sz w:val="24"/>
          <w:szCs w:val="24"/>
        </w:rPr>
        <w:t>- Decreto n° 13.348, de 30/07/2014, que regulamenta o estudo e o relatório de impacto de vizinhança;</w:t>
      </w:r>
    </w:p>
    <w:p w:rsidR="00B26884" w:rsidRPr="005758FB" w:rsidRDefault="001F601E" w:rsidP="005758FB">
      <w:pPr>
        <w:jc w:val="both"/>
        <w:rPr>
          <w:rFonts w:ascii="Arial" w:hAnsi="Arial" w:cs="Arial"/>
          <w:sz w:val="24"/>
          <w:szCs w:val="24"/>
        </w:rPr>
      </w:pPr>
      <w:r w:rsidRPr="005758FB">
        <w:rPr>
          <w:rStyle w:val="Forte"/>
          <w:rFonts w:ascii="Arial" w:hAnsi="Arial" w:cs="Arial"/>
          <w:b w:val="0"/>
          <w:sz w:val="24"/>
          <w:szCs w:val="24"/>
        </w:rPr>
        <w:t>- Decreto n° 13.349, 30/07/2014 que regulamenta o estudo específico de localização.</w:t>
      </w:r>
    </w:p>
    <w:sectPr w:rsidR="00B26884" w:rsidRPr="005758FB" w:rsidSect="009B3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157"/>
    <w:rsid w:val="00005B16"/>
    <w:rsid w:val="00074A0C"/>
    <w:rsid w:val="000D38E7"/>
    <w:rsid w:val="001175CD"/>
    <w:rsid w:val="00125D4B"/>
    <w:rsid w:val="001F4320"/>
    <w:rsid w:val="001F601E"/>
    <w:rsid w:val="00223A1D"/>
    <w:rsid w:val="00274EFC"/>
    <w:rsid w:val="002A0488"/>
    <w:rsid w:val="002A1080"/>
    <w:rsid w:val="002A4BFD"/>
    <w:rsid w:val="003311A5"/>
    <w:rsid w:val="003831CC"/>
    <w:rsid w:val="003E7055"/>
    <w:rsid w:val="004155EE"/>
    <w:rsid w:val="00431604"/>
    <w:rsid w:val="00472A64"/>
    <w:rsid w:val="004928C2"/>
    <w:rsid w:val="00496F8A"/>
    <w:rsid w:val="005758FB"/>
    <w:rsid w:val="00635C50"/>
    <w:rsid w:val="006A3427"/>
    <w:rsid w:val="006A6157"/>
    <w:rsid w:val="006B1254"/>
    <w:rsid w:val="006B19A3"/>
    <w:rsid w:val="006C161D"/>
    <w:rsid w:val="006E24EC"/>
    <w:rsid w:val="008421F1"/>
    <w:rsid w:val="00876C36"/>
    <w:rsid w:val="008E0C9E"/>
    <w:rsid w:val="00913C92"/>
    <w:rsid w:val="009241B5"/>
    <w:rsid w:val="009740B4"/>
    <w:rsid w:val="009B371B"/>
    <w:rsid w:val="00AA64CF"/>
    <w:rsid w:val="00AB2813"/>
    <w:rsid w:val="00B26884"/>
    <w:rsid w:val="00BC6B0D"/>
    <w:rsid w:val="00BD337A"/>
    <w:rsid w:val="00BD4EFC"/>
    <w:rsid w:val="00C0610C"/>
    <w:rsid w:val="00DA0657"/>
    <w:rsid w:val="00E13B85"/>
    <w:rsid w:val="00E24B8D"/>
    <w:rsid w:val="00EC5526"/>
    <w:rsid w:val="00F24301"/>
    <w:rsid w:val="00FE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76C36"/>
    <w:pPr>
      <w:spacing w:after="0" w:line="240" w:lineRule="auto"/>
    </w:pPr>
    <w:rPr>
      <w:rFonts w:ascii="Consolas" w:eastAsiaTheme="minorEastAsia" w:hAnsi="Consolas" w:cs="Times New Roman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76C36"/>
    <w:rPr>
      <w:rFonts w:ascii="Consolas" w:eastAsiaTheme="minorEastAsia" w:hAnsi="Consolas" w:cs="Times New Roman"/>
      <w:sz w:val="21"/>
      <w:szCs w:val="21"/>
      <w:lang w:eastAsia="pt-BR"/>
    </w:rPr>
  </w:style>
  <w:style w:type="character" w:styleId="Forte">
    <w:name w:val="Strong"/>
    <w:basedOn w:val="Fontepargpadro"/>
    <w:uiPriority w:val="22"/>
    <w:qFormat/>
    <w:rsid w:val="00876C3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76C36"/>
    <w:rPr>
      <w:color w:val="0000FF"/>
      <w:u w:val="single"/>
    </w:rPr>
  </w:style>
  <w:style w:type="character" w:customStyle="1" w:styleId="ecxapple-converted-space">
    <w:name w:val="ecxapple-converted-space"/>
    <w:basedOn w:val="Fontepargpadro"/>
    <w:rsid w:val="00876C36"/>
  </w:style>
  <w:style w:type="paragraph" w:styleId="PargrafodaLista">
    <w:name w:val="List Paragraph"/>
    <w:basedOn w:val="Normal"/>
    <w:uiPriority w:val="34"/>
    <w:qFormat/>
    <w:rsid w:val="00575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ACAERT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ACAERT</dc:creator>
  <cp:keywords/>
  <dc:description/>
  <cp:lastModifiedBy>micro</cp:lastModifiedBy>
  <cp:revision>10</cp:revision>
  <dcterms:created xsi:type="dcterms:W3CDTF">2014-12-07T21:03:00Z</dcterms:created>
  <dcterms:modified xsi:type="dcterms:W3CDTF">2014-12-07T21:53:00Z</dcterms:modified>
</cp:coreProperties>
</file>